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6463F8" w:rsidRDefault="00365BF6" w:rsidP="00422E35">
      <w:pPr>
        <w:jc w:val="center"/>
        <w:rPr>
          <w:rFonts w:cs="Times New Roman"/>
          <w:b/>
          <w:szCs w:val="24"/>
        </w:rPr>
      </w:pPr>
      <w:r w:rsidRPr="006463F8">
        <w:rPr>
          <w:rFonts w:cs="Times New Roman"/>
          <w:b/>
          <w:szCs w:val="24"/>
        </w:rPr>
        <w:t>Judicial System</w:t>
      </w:r>
    </w:p>
    <w:p w:rsidR="00422E35" w:rsidRPr="006463F8" w:rsidRDefault="00422E35" w:rsidP="00422E35">
      <w:pPr>
        <w:jc w:val="center"/>
        <w:rPr>
          <w:rFonts w:cs="Times New Roman"/>
          <w:b/>
          <w:szCs w:val="24"/>
        </w:rPr>
      </w:pPr>
    </w:p>
    <w:p w:rsidR="00422E35" w:rsidRPr="006463F8" w:rsidRDefault="00422E35" w:rsidP="00422E35">
      <w:pPr>
        <w:jc w:val="center"/>
        <w:rPr>
          <w:rFonts w:cs="Times New Roman"/>
          <w:b/>
          <w:szCs w:val="24"/>
        </w:rPr>
      </w:pPr>
    </w:p>
    <w:p w:rsidR="00422E35" w:rsidRPr="006463F8" w:rsidRDefault="00365BF6" w:rsidP="00422E35">
      <w:pPr>
        <w:jc w:val="center"/>
        <w:rPr>
          <w:rFonts w:cs="Times New Roman"/>
          <w:szCs w:val="24"/>
        </w:rPr>
      </w:pPr>
      <w:r w:rsidRPr="006463F8">
        <w:rPr>
          <w:rFonts w:cs="Times New Roman"/>
          <w:szCs w:val="24"/>
        </w:rPr>
        <w:t>Name</w:t>
      </w:r>
    </w:p>
    <w:p w:rsidR="00422E35" w:rsidRPr="006463F8" w:rsidRDefault="00365BF6" w:rsidP="00422E35">
      <w:pPr>
        <w:jc w:val="center"/>
        <w:rPr>
          <w:rFonts w:cs="Times New Roman"/>
          <w:szCs w:val="24"/>
        </w:rPr>
      </w:pPr>
      <w:r w:rsidRPr="006463F8">
        <w:rPr>
          <w:rFonts w:cs="Times New Roman"/>
          <w:szCs w:val="24"/>
        </w:rPr>
        <w:t>Affiliation</w:t>
      </w:r>
    </w:p>
    <w:p w:rsidR="00422E35" w:rsidRPr="006463F8" w:rsidRDefault="00365BF6" w:rsidP="00422E35">
      <w:pPr>
        <w:jc w:val="center"/>
        <w:rPr>
          <w:rFonts w:cs="Times New Roman"/>
          <w:szCs w:val="24"/>
        </w:rPr>
      </w:pPr>
      <w:r w:rsidRPr="006463F8">
        <w:rPr>
          <w:rFonts w:cs="Times New Roman"/>
          <w:szCs w:val="24"/>
        </w:rPr>
        <w:t>Date</w:t>
      </w:r>
    </w:p>
    <w:p w:rsidR="00422E35" w:rsidRPr="006463F8" w:rsidRDefault="00422E35" w:rsidP="00422E35">
      <w:pPr>
        <w:jc w:val="center"/>
        <w:rPr>
          <w:rFonts w:cs="Times New Roman"/>
          <w:szCs w:val="24"/>
        </w:rPr>
      </w:pPr>
    </w:p>
    <w:p w:rsidR="00422E35" w:rsidRPr="006463F8" w:rsidRDefault="00422E35" w:rsidP="00422E35">
      <w:pPr>
        <w:jc w:val="center"/>
        <w:rPr>
          <w:rFonts w:cs="Times New Roman"/>
          <w:szCs w:val="24"/>
        </w:rPr>
      </w:pPr>
    </w:p>
    <w:p w:rsidR="00422E35" w:rsidRPr="006463F8" w:rsidRDefault="00422E35" w:rsidP="00422E35">
      <w:pPr>
        <w:jc w:val="center"/>
        <w:rPr>
          <w:rFonts w:cs="Times New Roman"/>
          <w:szCs w:val="24"/>
        </w:rPr>
      </w:pPr>
    </w:p>
    <w:p w:rsidR="00422E35" w:rsidRPr="006463F8" w:rsidRDefault="00422E35" w:rsidP="00422E35">
      <w:pPr>
        <w:jc w:val="center"/>
        <w:rPr>
          <w:rFonts w:cs="Times New Roman"/>
          <w:szCs w:val="24"/>
        </w:rPr>
      </w:pPr>
    </w:p>
    <w:p w:rsidR="00422E35" w:rsidRPr="006463F8" w:rsidRDefault="00422E35" w:rsidP="00422E35">
      <w:pPr>
        <w:jc w:val="center"/>
        <w:rPr>
          <w:rFonts w:cs="Times New Roman"/>
          <w:szCs w:val="24"/>
        </w:rPr>
      </w:pPr>
    </w:p>
    <w:p w:rsidR="00422E35" w:rsidRPr="006463F8" w:rsidRDefault="00422E35" w:rsidP="00422E35">
      <w:pPr>
        <w:jc w:val="center"/>
        <w:rPr>
          <w:rFonts w:cs="Times New Roman"/>
          <w:szCs w:val="24"/>
        </w:rPr>
      </w:pPr>
    </w:p>
    <w:p w:rsidR="00422E35" w:rsidRPr="006463F8" w:rsidRDefault="00422E35" w:rsidP="00422E35">
      <w:pPr>
        <w:jc w:val="center"/>
        <w:rPr>
          <w:rFonts w:cs="Times New Roman"/>
          <w:szCs w:val="24"/>
        </w:rPr>
      </w:pPr>
    </w:p>
    <w:p w:rsidR="00422E35" w:rsidRPr="006463F8" w:rsidRDefault="00422E35" w:rsidP="00422E35">
      <w:pPr>
        <w:jc w:val="center"/>
        <w:rPr>
          <w:rFonts w:cs="Times New Roman"/>
          <w:szCs w:val="24"/>
        </w:rPr>
      </w:pPr>
    </w:p>
    <w:p w:rsidR="00422E35" w:rsidRPr="006463F8" w:rsidRDefault="00422E35" w:rsidP="00422E35">
      <w:pPr>
        <w:jc w:val="center"/>
        <w:rPr>
          <w:rFonts w:cs="Times New Roman"/>
          <w:szCs w:val="24"/>
        </w:rPr>
      </w:pPr>
    </w:p>
    <w:p w:rsidR="00422E35" w:rsidRPr="006463F8" w:rsidRDefault="00422E35" w:rsidP="00422E35">
      <w:pPr>
        <w:jc w:val="center"/>
        <w:rPr>
          <w:rFonts w:cs="Times New Roman"/>
          <w:szCs w:val="24"/>
        </w:rPr>
      </w:pPr>
    </w:p>
    <w:p w:rsidR="00422E35" w:rsidRPr="006463F8" w:rsidRDefault="00422E35" w:rsidP="00422E35">
      <w:pPr>
        <w:jc w:val="center"/>
        <w:rPr>
          <w:rFonts w:cs="Times New Roman"/>
          <w:szCs w:val="24"/>
        </w:rPr>
      </w:pPr>
    </w:p>
    <w:p w:rsidR="00422E35" w:rsidRPr="006463F8" w:rsidRDefault="00422E35" w:rsidP="00422E35">
      <w:pPr>
        <w:jc w:val="center"/>
        <w:rPr>
          <w:rFonts w:cs="Times New Roman"/>
          <w:szCs w:val="24"/>
        </w:rPr>
      </w:pPr>
    </w:p>
    <w:p w:rsidR="00422E35" w:rsidRPr="006463F8" w:rsidRDefault="00365BF6" w:rsidP="00422E35">
      <w:pPr>
        <w:jc w:val="center"/>
        <w:rPr>
          <w:rFonts w:cs="Times New Roman"/>
          <w:b/>
          <w:szCs w:val="24"/>
        </w:rPr>
      </w:pPr>
      <w:r w:rsidRPr="006463F8">
        <w:rPr>
          <w:rFonts w:cs="Times New Roman"/>
          <w:b/>
          <w:szCs w:val="24"/>
        </w:rPr>
        <w:t>Judicial System</w:t>
      </w:r>
    </w:p>
    <w:p w:rsidR="00422E35" w:rsidRPr="006463F8" w:rsidRDefault="00365BF6" w:rsidP="00422E35">
      <w:pPr>
        <w:rPr>
          <w:rFonts w:cs="Times New Roman"/>
          <w:szCs w:val="24"/>
        </w:rPr>
      </w:pPr>
      <w:r w:rsidRPr="006463F8">
        <w:rPr>
          <w:rFonts w:cs="Times New Roman"/>
          <w:szCs w:val="24"/>
        </w:rPr>
        <w:lastRenderedPageBreak/>
        <w:tab/>
        <w:t xml:space="preserve">Yes, the judiciary system provides justice .the basic principle of the </w:t>
      </w:r>
      <w:r w:rsidR="00E83B44" w:rsidRPr="006463F8">
        <w:rPr>
          <w:rFonts w:cs="Times New Roman"/>
          <w:szCs w:val="24"/>
        </w:rPr>
        <w:t>order</w:t>
      </w:r>
      <w:r w:rsidRPr="006463F8">
        <w:rPr>
          <w:rFonts w:cs="Times New Roman"/>
          <w:szCs w:val="24"/>
        </w:rPr>
        <w:t xml:space="preserve"> is </w:t>
      </w:r>
      <w:r w:rsidR="00E83B44" w:rsidRPr="006463F8">
        <w:rPr>
          <w:rFonts w:cs="Times New Roman"/>
          <w:szCs w:val="24"/>
        </w:rPr>
        <w:t>admittance</w:t>
      </w:r>
      <w:r w:rsidRPr="006463F8">
        <w:rPr>
          <w:rFonts w:cs="Times New Roman"/>
          <w:szCs w:val="24"/>
        </w:rPr>
        <w:t xml:space="preserve"> to </w:t>
      </w:r>
      <w:r w:rsidR="00284C68" w:rsidRPr="006463F8">
        <w:rPr>
          <w:rFonts w:cs="Times New Roman"/>
          <w:szCs w:val="24"/>
        </w:rPr>
        <w:t xml:space="preserve">justice. However, the absence of </w:t>
      </w:r>
      <w:r w:rsidR="00E83B44" w:rsidRPr="006463F8">
        <w:rPr>
          <w:rFonts w:cs="Times New Roman"/>
          <w:szCs w:val="24"/>
        </w:rPr>
        <w:t>impartiality</w:t>
      </w:r>
      <w:r w:rsidR="00284C68" w:rsidRPr="006463F8">
        <w:rPr>
          <w:rFonts w:cs="Times New Roman"/>
          <w:szCs w:val="24"/>
        </w:rPr>
        <w:t xml:space="preserve"> denies citizens a path to have their </w:t>
      </w:r>
      <w:r w:rsidR="00E83B44" w:rsidRPr="006463F8">
        <w:rPr>
          <w:rFonts w:cs="Times New Roman"/>
          <w:szCs w:val="24"/>
        </w:rPr>
        <w:t>speeches</w:t>
      </w:r>
      <w:r w:rsidR="00284C68" w:rsidRPr="006463F8">
        <w:rPr>
          <w:rFonts w:cs="Times New Roman"/>
          <w:szCs w:val="24"/>
        </w:rPr>
        <w:t xml:space="preserve"> </w:t>
      </w:r>
      <w:r w:rsidR="00E83B44" w:rsidRPr="006463F8">
        <w:rPr>
          <w:rFonts w:cs="Times New Roman"/>
          <w:szCs w:val="24"/>
        </w:rPr>
        <w:t>perceived</w:t>
      </w:r>
      <w:r w:rsidR="00284C68" w:rsidRPr="006463F8">
        <w:rPr>
          <w:rFonts w:cs="Times New Roman"/>
          <w:szCs w:val="24"/>
        </w:rPr>
        <w:t xml:space="preserve">, </w:t>
      </w:r>
      <w:r w:rsidR="00E83B44" w:rsidRPr="006463F8">
        <w:rPr>
          <w:rFonts w:cs="Times New Roman"/>
          <w:szCs w:val="24"/>
        </w:rPr>
        <w:t>encounter</w:t>
      </w:r>
      <w:r w:rsidR="00284C68" w:rsidRPr="006463F8">
        <w:rPr>
          <w:rFonts w:cs="Times New Roman"/>
          <w:szCs w:val="24"/>
        </w:rPr>
        <w:t xml:space="preserve"> </w:t>
      </w:r>
      <w:r w:rsidR="00E83B44" w:rsidRPr="006463F8">
        <w:rPr>
          <w:rFonts w:cs="Times New Roman"/>
          <w:szCs w:val="24"/>
        </w:rPr>
        <w:t>discernment</w:t>
      </w:r>
      <w:r w:rsidR="00284C68" w:rsidRPr="006463F8">
        <w:rPr>
          <w:rFonts w:cs="Times New Roman"/>
          <w:szCs w:val="24"/>
        </w:rPr>
        <w:t xml:space="preserve">, and </w:t>
      </w:r>
      <w:r w:rsidR="00E83B44" w:rsidRPr="006463F8">
        <w:rPr>
          <w:rFonts w:cs="Times New Roman"/>
          <w:szCs w:val="24"/>
        </w:rPr>
        <w:t>implement</w:t>
      </w:r>
      <w:r w:rsidR="00284C68" w:rsidRPr="006463F8">
        <w:rPr>
          <w:rFonts w:cs="Times New Roman"/>
          <w:szCs w:val="24"/>
        </w:rPr>
        <w:t xml:space="preserve"> their </w:t>
      </w:r>
      <w:r w:rsidR="00E83B44" w:rsidRPr="006463F8">
        <w:rPr>
          <w:rFonts w:cs="Times New Roman"/>
          <w:szCs w:val="24"/>
        </w:rPr>
        <w:t>privileges</w:t>
      </w:r>
      <w:r w:rsidR="00284C68" w:rsidRPr="006463F8">
        <w:rPr>
          <w:rFonts w:cs="Times New Roman"/>
          <w:szCs w:val="24"/>
        </w:rPr>
        <w:t xml:space="preserve">. The judicial system upholds the </w:t>
      </w:r>
      <w:r w:rsidR="000B70BE" w:rsidRPr="006463F8">
        <w:rPr>
          <w:rFonts w:cs="Times New Roman"/>
          <w:szCs w:val="24"/>
        </w:rPr>
        <w:t>pronouncement</w:t>
      </w:r>
      <w:r w:rsidR="00284C68" w:rsidRPr="006463F8">
        <w:rPr>
          <w:rFonts w:cs="Times New Roman"/>
          <w:szCs w:val="24"/>
        </w:rPr>
        <w:t xml:space="preserve"> of </w:t>
      </w:r>
      <w:r w:rsidR="000B70BE" w:rsidRPr="006463F8">
        <w:rPr>
          <w:rFonts w:cs="Times New Roman"/>
          <w:szCs w:val="24"/>
        </w:rPr>
        <w:t>an</w:t>
      </w:r>
      <w:r w:rsidR="00284C68" w:rsidRPr="006463F8">
        <w:rPr>
          <w:rFonts w:cs="Times New Roman"/>
          <w:szCs w:val="24"/>
        </w:rPr>
        <w:t xml:space="preserve"> </w:t>
      </w:r>
      <w:r w:rsidR="000B70BE" w:rsidRPr="006463F8">
        <w:rPr>
          <w:rFonts w:cs="Times New Roman"/>
          <w:szCs w:val="24"/>
        </w:rPr>
        <w:t>extraordinary</w:t>
      </w:r>
      <w:r w:rsidR="00284C68" w:rsidRPr="006463F8">
        <w:rPr>
          <w:rFonts w:cs="Times New Roman"/>
          <w:szCs w:val="24"/>
        </w:rPr>
        <w:t xml:space="preserve"> level of </w:t>
      </w:r>
      <w:r w:rsidR="000B70BE" w:rsidRPr="006463F8">
        <w:rPr>
          <w:rFonts w:cs="Times New Roman"/>
          <w:szCs w:val="24"/>
        </w:rPr>
        <w:t>the convention</w:t>
      </w:r>
      <w:r w:rsidR="00284C68" w:rsidRPr="006463F8">
        <w:rPr>
          <w:rFonts w:cs="Times New Roman"/>
          <w:szCs w:val="24"/>
        </w:rPr>
        <w:t xml:space="preserve"> on the </w:t>
      </w:r>
      <w:r w:rsidR="000B70BE" w:rsidRPr="006463F8">
        <w:rPr>
          <w:rFonts w:cs="Times New Roman"/>
          <w:szCs w:val="24"/>
        </w:rPr>
        <w:t>order</w:t>
      </w:r>
      <w:r w:rsidR="00284C68" w:rsidRPr="006463F8">
        <w:rPr>
          <w:rFonts w:cs="Times New Roman"/>
          <w:szCs w:val="24"/>
        </w:rPr>
        <w:t xml:space="preserve"> that </w:t>
      </w:r>
      <w:r w:rsidR="000B70BE" w:rsidRPr="006463F8">
        <w:rPr>
          <w:rFonts w:cs="Times New Roman"/>
          <w:szCs w:val="24"/>
        </w:rPr>
        <w:t>accentuates</w:t>
      </w:r>
      <w:r w:rsidR="00284C68" w:rsidRPr="006463F8">
        <w:rPr>
          <w:rFonts w:cs="Times New Roman"/>
          <w:szCs w:val="24"/>
        </w:rPr>
        <w:t xml:space="preserve"> the right to </w:t>
      </w:r>
      <w:r w:rsidR="000B70BE" w:rsidRPr="006463F8">
        <w:rPr>
          <w:rFonts w:cs="Times New Roman"/>
          <w:szCs w:val="24"/>
        </w:rPr>
        <w:t>admittance</w:t>
      </w:r>
      <w:r w:rsidR="00284C68" w:rsidRPr="006463F8">
        <w:rPr>
          <w:rFonts w:cs="Times New Roman"/>
          <w:szCs w:val="24"/>
        </w:rPr>
        <w:t xml:space="preserve"> </w:t>
      </w:r>
      <w:r w:rsidR="000B70BE" w:rsidRPr="006463F8">
        <w:rPr>
          <w:rFonts w:cs="Times New Roman"/>
          <w:szCs w:val="24"/>
        </w:rPr>
        <w:t>fairness</w:t>
      </w:r>
      <w:r w:rsidR="00284C68" w:rsidRPr="006463F8">
        <w:rPr>
          <w:rFonts w:cs="Times New Roman"/>
          <w:szCs w:val="24"/>
        </w:rPr>
        <w:t xml:space="preserve">. Also, the judicial system ensures that the delivery of justice is non-discriminatory and </w:t>
      </w:r>
      <w:r w:rsidR="00073A80" w:rsidRPr="006463F8">
        <w:rPr>
          <w:rFonts w:cs="Times New Roman"/>
          <w:szCs w:val="24"/>
        </w:rPr>
        <w:t xml:space="preserve">impartial. The judicial system also provides justice through its objectives to increase public security and reduce crime by ensuring the legal protections and the rule of law for </w:t>
      </w:r>
      <w:r w:rsidR="00DE65AE" w:rsidRPr="006463F8">
        <w:rPr>
          <w:rFonts w:cs="Times New Roman"/>
          <w:szCs w:val="24"/>
        </w:rPr>
        <w:t>citizens</w:t>
      </w:r>
      <w:r w:rsidR="00DE65AE" w:rsidRPr="006463F8">
        <w:rPr>
          <w:rFonts w:cs="Times New Roman"/>
          <w:szCs w:val="24"/>
          <w:shd w:val="clear" w:color="auto" w:fill="FFFFFF"/>
        </w:rPr>
        <w:t xml:space="preserve"> (Chutkow, 2014)</w:t>
      </w:r>
      <w:r w:rsidR="00073A80" w:rsidRPr="006463F8">
        <w:rPr>
          <w:rFonts w:cs="Times New Roman"/>
          <w:szCs w:val="24"/>
        </w:rPr>
        <w:t>.</w:t>
      </w:r>
    </w:p>
    <w:p w:rsidR="00073A80" w:rsidRDefault="00365BF6" w:rsidP="007C7C92">
      <w:pPr>
        <w:ind w:firstLine="720"/>
        <w:rPr>
          <w:rFonts w:cs="Times New Roman"/>
          <w:szCs w:val="24"/>
        </w:rPr>
      </w:pPr>
      <w:r w:rsidRPr="006463F8">
        <w:rPr>
          <w:rFonts w:cs="Times New Roman"/>
          <w:szCs w:val="24"/>
        </w:rPr>
        <w:t xml:space="preserve"> The </w:t>
      </w:r>
      <w:r w:rsidR="000B70BE" w:rsidRPr="006463F8">
        <w:rPr>
          <w:rFonts w:cs="Times New Roman"/>
          <w:szCs w:val="24"/>
        </w:rPr>
        <w:t>order</w:t>
      </w:r>
      <w:r w:rsidRPr="006463F8">
        <w:rPr>
          <w:rFonts w:cs="Times New Roman"/>
          <w:szCs w:val="24"/>
        </w:rPr>
        <w:t xml:space="preserve"> demands the judicial system to conduct its procedures in a high standard manner, consistent and predictable. Since men's insecurity is less than females, the judicial system has given higher priority to gender equality efforts and its persistent efforts to achieve particular gender </w:t>
      </w:r>
      <w:r w:rsidR="00515706" w:rsidRPr="006463F8">
        <w:rPr>
          <w:rFonts w:cs="Times New Roman"/>
          <w:szCs w:val="24"/>
        </w:rPr>
        <w:t>impartiality</w:t>
      </w:r>
      <w:r w:rsidRPr="006463F8">
        <w:rPr>
          <w:rFonts w:cs="Times New Roman"/>
          <w:szCs w:val="24"/>
        </w:rPr>
        <w:t xml:space="preserve"> </w:t>
      </w:r>
      <w:r w:rsidR="00515706" w:rsidRPr="006463F8">
        <w:rPr>
          <w:rFonts w:cs="Times New Roman"/>
          <w:szCs w:val="24"/>
        </w:rPr>
        <w:t>purposes</w:t>
      </w:r>
      <w:r w:rsidR="00DE65AE" w:rsidRPr="006463F8">
        <w:rPr>
          <w:rFonts w:cs="Times New Roman"/>
          <w:szCs w:val="24"/>
        </w:rPr>
        <w:t xml:space="preserve"> </w:t>
      </w:r>
      <w:r w:rsidR="00DE65AE" w:rsidRPr="006463F8">
        <w:rPr>
          <w:rFonts w:cs="Times New Roman"/>
          <w:szCs w:val="24"/>
          <w:shd w:val="clear" w:color="auto" w:fill="FFFFFF"/>
        </w:rPr>
        <w:t>(Hernández, 2014)</w:t>
      </w:r>
      <w:r w:rsidR="00515706" w:rsidRPr="006463F8">
        <w:rPr>
          <w:rFonts w:cs="Times New Roman"/>
          <w:szCs w:val="24"/>
        </w:rPr>
        <w:t xml:space="preserve">. Independent judges, well-researched and reasoned rulings, and quality staff hallmarks the judicial system litigation. The judicial system provides justice through the deliberate and timely delivery of justice to the cases. The system also monitors the aspects of case management through its mechanism to assist and identify congested </w:t>
      </w:r>
      <w:r w:rsidR="00A01E4F" w:rsidRPr="006463F8">
        <w:rPr>
          <w:rFonts w:cs="Times New Roman"/>
          <w:szCs w:val="24"/>
        </w:rPr>
        <w:t>courts. Due to the robust protection of public court facilities, court staff, and judges, the judicial council can perform their obligations in an environment that addresses their families' safety and personal safety</w:t>
      </w:r>
      <w:r w:rsidR="00DE65AE" w:rsidRPr="006463F8">
        <w:rPr>
          <w:rFonts w:cs="Times New Roman"/>
          <w:szCs w:val="24"/>
        </w:rPr>
        <w:t xml:space="preserve"> </w:t>
      </w:r>
      <w:r w:rsidR="00DE65AE" w:rsidRPr="006463F8">
        <w:rPr>
          <w:rFonts w:cs="Times New Roman"/>
          <w:szCs w:val="24"/>
          <w:shd w:val="clear" w:color="auto" w:fill="FFFFFF"/>
        </w:rPr>
        <w:t>(Kelemen &amp; Schmidt, 2012)</w:t>
      </w:r>
      <w:r w:rsidR="00A01E4F" w:rsidRPr="006463F8">
        <w:rPr>
          <w:rFonts w:cs="Times New Roman"/>
          <w:szCs w:val="24"/>
        </w:rPr>
        <w:t>.</w:t>
      </w:r>
    </w:p>
    <w:p w:rsidR="006463F8" w:rsidRDefault="006463F8" w:rsidP="00422E35">
      <w:pPr>
        <w:rPr>
          <w:rFonts w:cs="Times New Roman"/>
          <w:szCs w:val="24"/>
        </w:rPr>
      </w:pPr>
    </w:p>
    <w:p w:rsidR="006463F8" w:rsidRDefault="006463F8" w:rsidP="00422E35">
      <w:pPr>
        <w:rPr>
          <w:rFonts w:cs="Times New Roman"/>
          <w:szCs w:val="24"/>
        </w:rPr>
      </w:pPr>
    </w:p>
    <w:p w:rsidR="006463F8" w:rsidRDefault="006463F8" w:rsidP="00422E35">
      <w:pPr>
        <w:rPr>
          <w:rFonts w:cs="Times New Roman"/>
          <w:szCs w:val="24"/>
        </w:rPr>
      </w:pPr>
    </w:p>
    <w:p w:rsidR="006463F8" w:rsidRPr="006463F8" w:rsidRDefault="006463F8" w:rsidP="006463F8">
      <w:pPr>
        <w:shd w:val="clear" w:color="auto" w:fill="FFFFFF"/>
        <w:spacing w:after="0" w:line="240" w:lineRule="auto"/>
        <w:jc w:val="center"/>
        <w:rPr>
          <w:rFonts w:eastAsia="Times New Roman" w:cs="Times New Roman"/>
          <w:szCs w:val="24"/>
        </w:rPr>
      </w:pPr>
      <w:r w:rsidRPr="006463F8">
        <w:rPr>
          <w:rFonts w:eastAsia="Times New Roman" w:cs="Times New Roman"/>
          <w:szCs w:val="24"/>
        </w:rPr>
        <w:t>References</w:t>
      </w:r>
    </w:p>
    <w:p w:rsidR="006463F8" w:rsidRPr="006463F8" w:rsidRDefault="006463F8" w:rsidP="006463F8">
      <w:pPr>
        <w:shd w:val="clear" w:color="auto" w:fill="FFFFFF"/>
        <w:spacing w:after="0" w:line="550" w:lineRule="atLeast"/>
        <w:ind w:left="720" w:right="75" w:hanging="720"/>
        <w:rPr>
          <w:rFonts w:eastAsia="Times New Roman" w:cs="Times New Roman"/>
          <w:szCs w:val="24"/>
        </w:rPr>
      </w:pPr>
      <w:r w:rsidRPr="006463F8">
        <w:rPr>
          <w:rFonts w:eastAsia="Times New Roman" w:cs="Times New Roman"/>
          <w:szCs w:val="24"/>
        </w:rPr>
        <w:lastRenderedPageBreak/>
        <w:t>Chutkow, D. M. (2014). The chief justice as executive. </w:t>
      </w:r>
      <w:r w:rsidRPr="006463F8">
        <w:rPr>
          <w:rFonts w:eastAsia="Times New Roman" w:cs="Times New Roman"/>
          <w:i/>
          <w:iCs/>
          <w:szCs w:val="24"/>
        </w:rPr>
        <w:t>Journal of Law and Courts</w:t>
      </w:r>
      <w:r w:rsidRPr="006463F8">
        <w:rPr>
          <w:rFonts w:eastAsia="Times New Roman" w:cs="Times New Roman"/>
          <w:szCs w:val="24"/>
        </w:rPr>
        <w:t>, </w:t>
      </w:r>
      <w:r w:rsidRPr="006463F8">
        <w:rPr>
          <w:rFonts w:eastAsia="Times New Roman" w:cs="Times New Roman"/>
          <w:i/>
          <w:iCs/>
          <w:szCs w:val="24"/>
        </w:rPr>
        <w:t>2</w:t>
      </w:r>
      <w:r w:rsidRPr="006463F8">
        <w:rPr>
          <w:rFonts w:eastAsia="Times New Roman" w:cs="Times New Roman"/>
          <w:szCs w:val="24"/>
        </w:rPr>
        <w:t>(2), 301-325. </w:t>
      </w:r>
      <w:hyperlink r:id="rId6" w:history="1">
        <w:r w:rsidRPr="006463F8">
          <w:rPr>
            <w:rFonts w:eastAsia="Times New Roman" w:cs="Times New Roman"/>
            <w:szCs w:val="24"/>
          </w:rPr>
          <w:t>https://doi.org/10.1086/677172</w:t>
        </w:r>
      </w:hyperlink>
    </w:p>
    <w:p w:rsidR="006463F8" w:rsidRPr="006463F8" w:rsidRDefault="006463F8" w:rsidP="006463F8">
      <w:pPr>
        <w:shd w:val="clear" w:color="auto" w:fill="FFFFFF"/>
        <w:spacing w:after="0" w:line="550" w:lineRule="atLeast"/>
        <w:ind w:left="720" w:right="75" w:hanging="720"/>
        <w:rPr>
          <w:rFonts w:eastAsia="Times New Roman" w:cs="Times New Roman"/>
          <w:szCs w:val="24"/>
        </w:rPr>
      </w:pPr>
      <w:r w:rsidRPr="006463F8">
        <w:rPr>
          <w:rFonts w:eastAsia="Times New Roman" w:cs="Times New Roman"/>
          <w:szCs w:val="24"/>
        </w:rPr>
        <w:t>Hernández, G. I. (2014). The International Court of Justice and the judicial function. </w:t>
      </w:r>
      <w:hyperlink r:id="rId7" w:history="1">
        <w:r w:rsidRPr="006463F8">
          <w:rPr>
            <w:rFonts w:eastAsia="Times New Roman" w:cs="Times New Roman"/>
            <w:szCs w:val="24"/>
          </w:rPr>
          <w:t>https://doi.org/10.1093/acprof:oso/9780199646630.001.0001</w:t>
        </w:r>
      </w:hyperlink>
    </w:p>
    <w:p w:rsidR="006463F8" w:rsidRPr="006463F8" w:rsidRDefault="006463F8" w:rsidP="006463F8">
      <w:pPr>
        <w:shd w:val="clear" w:color="auto" w:fill="FFFFFF"/>
        <w:spacing w:after="0" w:line="550" w:lineRule="atLeast"/>
        <w:ind w:left="720" w:right="75" w:hanging="720"/>
        <w:rPr>
          <w:rFonts w:eastAsia="Times New Roman" w:cs="Times New Roman"/>
          <w:szCs w:val="24"/>
        </w:rPr>
      </w:pPr>
      <w:r w:rsidRPr="006463F8">
        <w:rPr>
          <w:rFonts w:eastAsia="Times New Roman" w:cs="Times New Roman"/>
          <w:szCs w:val="24"/>
        </w:rPr>
        <w:t>Kelemen, R. D., &amp; Schmidt, S. K. (2012). Introduction – the European Court of Justice and legal integration: Perpetual momentum? </w:t>
      </w:r>
      <w:r w:rsidRPr="006463F8">
        <w:rPr>
          <w:rFonts w:eastAsia="Times New Roman" w:cs="Times New Roman"/>
          <w:i/>
          <w:iCs/>
          <w:szCs w:val="24"/>
        </w:rPr>
        <w:t>Journal of European Public Policy</w:t>
      </w:r>
      <w:r w:rsidRPr="006463F8">
        <w:rPr>
          <w:rFonts w:eastAsia="Times New Roman" w:cs="Times New Roman"/>
          <w:szCs w:val="24"/>
        </w:rPr>
        <w:t>, </w:t>
      </w:r>
      <w:r w:rsidRPr="006463F8">
        <w:rPr>
          <w:rFonts w:eastAsia="Times New Roman" w:cs="Times New Roman"/>
          <w:i/>
          <w:iCs/>
          <w:szCs w:val="24"/>
        </w:rPr>
        <w:t>19</w:t>
      </w:r>
      <w:r w:rsidRPr="006463F8">
        <w:rPr>
          <w:rFonts w:eastAsia="Times New Roman" w:cs="Times New Roman"/>
          <w:szCs w:val="24"/>
        </w:rPr>
        <w:t>(1), 1-7. </w:t>
      </w:r>
      <w:hyperlink r:id="rId8" w:history="1">
        <w:r w:rsidRPr="006463F8">
          <w:rPr>
            <w:rFonts w:eastAsia="Times New Roman" w:cs="Times New Roman"/>
            <w:szCs w:val="24"/>
          </w:rPr>
          <w:t>https://doi.org/10.1080/13501763.2012.632119</w:t>
        </w:r>
      </w:hyperlink>
    </w:p>
    <w:p w:rsidR="006463F8" w:rsidRPr="006463F8" w:rsidRDefault="006463F8" w:rsidP="00422E35">
      <w:pPr>
        <w:rPr>
          <w:rFonts w:cs="Times New Roman"/>
          <w:szCs w:val="24"/>
        </w:rPr>
      </w:pPr>
    </w:p>
    <w:sectPr w:rsidR="006463F8" w:rsidRPr="006463F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83701" w:rsidRDefault="00D83701">
      <w:pPr>
        <w:spacing w:after="0" w:line="240" w:lineRule="auto"/>
      </w:pPr>
      <w:r>
        <w:separator/>
      </w:r>
    </w:p>
  </w:endnote>
  <w:endnote w:type="continuationSeparator" w:id="0">
    <w:p w:rsidR="00D83701" w:rsidRDefault="00D83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83701" w:rsidRDefault="00D83701">
      <w:pPr>
        <w:spacing w:after="0" w:line="240" w:lineRule="auto"/>
      </w:pPr>
      <w:r>
        <w:separator/>
      </w:r>
    </w:p>
  </w:footnote>
  <w:footnote w:type="continuationSeparator" w:id="0">
    <w:p w:rsidR="00D83701" w:rsidRDefault="00D83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7272401"/>
      <w:docPartObj>
        <w:docPartGallery w:val="Page Numbers (Top of Page)"/>
        <w:docPartUnique/>
      </w:docPartObj>
    </w:sdtPr>
    <w:sdtEndPr>
      <w:rPr>
        <w:noProof/>
      </w:rPr>
    </w:sdtEndPr>
    <w:sdtContent>
      <w:p w:rsidR="00422E35" w:rsidRDefault="00365BF6">
        <w:pPr>
          <w:pStyle w:val="Header"/>
          <w:jc w:val="right"/>
        </w:pPr>
        <w:r>
          <w:fldChar w:fldCharType="begin"/>
        </w:r>
        <w:r>
          <w:instrText xml:space="preserve"> PAGE   \* MERGEFORMAT </w:instrText>
        </w:r>
        <w:r>
          <w:fldChar w:fldCharType="separate"/>
        </w:r>
        <w:r w:rsidR="007C7C92">
          <w:rPr>
            <w:noProof/>
          </w:rPr>
          <w:t>2</w:t>
        </w:r>
        <w:r>
          <w:rPr>
            <w:noProof/>
          </w:rPr>
          <w:fldChar w:fldCharType="end"/>
        </w:r>
      </w:p>
    </w:sdtContent>
  </w:sdt>
  <w:p w:rsidR="00422E35" w:rsidRDefault="00422E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E35"/>
    <w:rsid w:val="000007A3"/>
    <w:rsid w:val="00024690"/>
    <w:rsid w:val="00073A80"/>
    <w:rsid w:val="000A64E8"/>
    <w:rsid w:val="000B70BE"/>
    <w:rsid w:val="00284C68"/>
    <w:rsid w:val="00365BF6"/>
    <w:rsid w:val="00422E35"/>
    <w:rsid w:val="00515706"/>
    <w:rsid w:val="006463F8"/>
    <w:rsid w:val="007C7C92"/>
    <w:rsid w:val="00901A4A"/>
    <w:rsid w:val="00953779"/>
    <w:rsid w:val="00A01E4F"/>
    <w:rsid w:val="00AD7547"/>
    <w:rsid w:val="00C7143D"/>
    <w:rsid w:val="00C918D7"/>
    <w:rsid w:val="00D83701"/>
    <w:rsid w:val="00DE65AE"/>
    <w:rsid w:val="00E6378E"/>
    <w:rsid w:val="00E83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2AEEE5-845C-43E9-ACF6-EA9CEA221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E35"/>
  </w:style>
  <w:style w:type="paragraph" w:styleId="Footer">
    <w:name w:val="footer"/>
    <w:basedOn w:val="Normal"/>
    <w:link w:val="FooterChar"/>
    <w:uiPriority w:val="99"/>
    <w:unhideWhenUsed/>
    <w:rsid w:val="00422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E35"/>
  </w:style>
  <w:style w:type="character" w:customStyle="1" w:styleId="gray">
    <w:name w:val="gray"/>
    <w:basedOn w:val="DefaultParagraphFont"/>
    <w:rsid w:val="00DE65AE"/>
  </w:style>
  <w:style w:type="paragraph" w:styleId="NormalWeb">
    <w:name w:val="Normal (Web)"/>
    <w:basedOn w:val="Normal"/>
    <w:uiPriority w:val="99"/>
    <w:semiHidden/>
    <w:unhideWhenUsed/>
    <w:rsid w:val="006463F8"/>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6463F8"/>
    <w:rPr>
      <w:i/>
      <w:iCs/>
    </w:rPr>
  </w:style>
  <w:style w:type="character" w:styleId="Hyperlink">
    <w:name w:val="Hyperlink"/>
    <w:basedOn w:val="DefaultParagraphFont"/>
    <w:uiPriority w:val="99"/>
    <w:semiHidden/>
    <w:unhideWhenUsed/>
    <w:rsid w:val="006463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114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3501763.2012.632119" TargetMode="External" /><Relationship Id="rId3" Type="http://schemas.openxmlformats.org/officeDocument/2006/relationships/webSettings" Target="webSettings.xml" /><Relationship Id="rId7" Type="http://schemas.openxmlformats.org/officeDocument/2006/relationships/hyperlink" Target="https://doi.org/10.1093/acprof:oso/9780199646630.001.0001"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86/677172"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2020-09-15T04:34:00Z</dcterms:created>
  <dcterms:modified xsi:type="dcterms:W3CDTF">2020-09-15T04:34:00Z</dcterms:modified>
</cp:coreProperties>
</file>